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FB" w:rsidRPr="00205EFB" w:rsidRDefault="00205EFB" w:rsidP="00205EFB">
      <w:pPr>
        <w:shd w:val="clear" w:color="auto" w:fill="FFFFFF"/>
        <w:spacing w:before="315" w:after="158" w:line="240" w:lineRule="auto"/>
        <w:jc w:val="center"/>
        <w:outlineLvl w:val="0"/>
        <w:rPr>
          <w:rFonts w:ascii="CfDin" w:eastAsia="Times New Roman" w:hAnsi="CfDin" w:cs="Times New Roman"/>
          <w:color w:val="333333"/>
          <w:kern w:val="36"/>
          <w:sz w:val="36"/>
          <w:szCs w:val="36"/>
          <w:lang w:eastAsia="el-GR"/>
        </w:rPr>
      </w:pPr>
      <w:r w:rsidRPr="00205EFB">
        <w:rPr>
          <w:rFonts w:ascii="CfDin" w:eastAsia="Times New Roman" w:hAnsi="CfDin" w:cs="Times New Roman"/>
          <w:color w:val="333333"/>
          <w:kern w:val="36"/>
          <w:sz w:val="36"/>
          <w:szCs w:val="36"/>
          <w:lang w:eastAsia="el-GR"/>
        </w:rPr>
        <w:t> </w:t>
      </w:r>
      <w:bookmarkStart w:id="0" w:name="_GoBack"/>
      <w:bookmarkEnd w:id="0"/>
      <w:r w:rsidRPr="00205EFB">
        <w:rPr>
          <w:rFonts w:ascii="CfDin" w:eastAsia="Times New Roman" w:hAnsi="CfDin" w:cs="Times New Roman"/>
          <w:b/>
          <w:bCs/>
          <w:color w:val="333333"/>
          <w:kern w:val="36"/>
          <w:sz w:val="36"/>
          <w:szCs w:val="36"/>
          <w:lang w:eastAsia="el-GR"/>
        </w:rPr>
        <w:t>2</w:t>
      </w:r>
      <w:r w:rsidRPr="00205EFB">
        <w:rPr>
          <w:rFonts w:ascii="CfDin" w:eastAsia="Times New Roman" w:hAnsi="CfDin" w:cs="Times New Roman"/>
          <w:b/>
          <w:bCs/>
          <w:color w:val="333333"/>
          <w:kern w:val="36"/>
          <w:sz w:val="25"/>
          <w:szCs w:val="25"/>
          <w:vertAlign w:val="superscript"/>
          <w:lang w:eastAsia="el-GR"/>
        </w:rPr>
        <w:t>ος </w:t>
      </w:r>
      <w:r w:rsidRPr="00205EFB">
        <w:rPr>
          <w:rFonts w:ascii="CfDin" w:eastAsia="Times New Roman" w:hAnsi="CfDin" w:cs="Times New Roman"/>
          <w:b/>
          <w:bCs/>
          <w:color w:val="333333"/>
          <w:kern w:val="36"/>
          <w:sz w:val="36"/>
          <w:szCs w:val="36"/>
          <w:lang w:eastAsia="el-GR"/>
        </w:rPr>
        <w:t>ΚΥΚΛΟΣ ΣΕΜΙΝΑΡΙΑΚΩΝ ΔΙΑΛΕΞΕΩΝ</w:t>
      </w:r>
      <w:r w:rsidRPr="00205EFB">
        <w:rPr>
          <w:rFonts w:ascii="CfDin" w:eastAsia="Times New Roman" w:hAnsi="CfDin" w:cs="Times New Roman"/>
          <w:color w:val="333333"/>
          <w:kern w:val="36"/>
          <w:sz w:val="36"/>
          <w:szCs w:val="36"/>
          <w:lang w:eastAsia="el-GR"/>
        </w:rPr>
        <w:t> </w:t>
      </w:r>
    </w:p>
    <w:p w:rsidR="00205EFB" w:rsidRPr="00205EFB" w:rsidRDefault="00205EFB" w:rsidP="00205EFB">
      <w:pPr>
        <w:shd w:val="clear" w:color="auto" w:fill="FFFFFF"/>
        <w:spacing w:before="315" w:after="158" w:line="240" w:lineRule="auto"/>
        <w:jc w:val="center"/>
        <w:outlineLvl w:val="0"/>
        <w:rPr>
          <w:rFonts w:ascii="CfDin" w:eastAsia="Times New Roman" w:hAnsi="CfDin" w:cs="Times New Roman"/>
          <w:color w:val="333333"/>
          <w:kern w:val="36"/>
          <w:sz w:val="36"/>
          <w:szCs w:val="36"/>
          <w:lang w:eastAsia="el-GR"/>
        </w:rPr>
      </w:pPr>
      <w:r w:rsidRPr="00205EFB">
        <w:rPr>
          <w:rFonts w:ascii="CfDin" w:eastAsia="Times New Roman" w:hAnsi="CfDin" w:cs="Times New Roman"/>
          <w:b/>
          <w:bCs/>
          <w:color w:val="333333"/>
          <w:kern w:val="36"/>
          <w:sz w:val="30"/>
          <w:szCs w:val="30"/>
          <w:lang w:eastAsia="el-GR"/>
        </w:rPr>
        <w:t>Ερευνητικής Ομάδας Νομικής Σχολής ΑΠΘ</w:t>
      </w:r>
      <w:r w:rsidRPr="00205EFB">
        <w:rPr>
          <w:rFonts w:ascii="CfDin" w:eastAsia="Times New Roman" w:hAnsi="CfDin" w:cs="Times New Roman"/>
          <w:b/>
          <w:bCs/>
          <w:color w:val="333333"/>
          <w:kern w:val="36"/>
          <w:sz w:val="30"/>
          <w:szCs w:val="30"/>
          <w:lang w:eastAsia="el-GR"/>
        </w:rPr>
        <w:br/>
        <w:t>«Ψηφιακή Οικονομία και Ιδιωτικό Δίκαιο»</w:t>
      </w:r>
    </w:p>
    <w:p w:rsidR="00205EFB" w:rsidRPr="00205EFB" w:rsidRDefault="00205EFB" w:rsidP="00205EFB">
      <w:pPr>
        <w:shd w:val="clear" w:color="auto" w:fill="FFFFFF"/>
        <w:spacing w:before="315" w:after="158" w:line="240" w:lineRule="auto"/>
        <w:jc w:val="center"/>
        <w:outlineLvl w:val="0"/>
        <w:rPr>
          <w:rFonts w:ascii="CfDin" w:eastAsia="Times New Roman" w:hAnsi="CfDin" w:cs="Times New Roman"/>
          <w:color w:val="333333"/>
          <w:kern w:val="36"/>
          <w:sz w:val="36"/>
          <w:szCs w:val="36"/>
          <w:lang w:eastAsia="el-GR"/>
        </w:rPr>
      </w:pPr>
      <w:r w:rsidRPr="00205EFB">
        <w:rPr>
          <w:rFonts w:ascii="CfDin" w:eastAsia="Times New Roman" w:hAnsi="CfDin" w:cs="Times New Roman"/>
          <w:b/>
          <w:bCs/>
          <w:color w:val="333333"/>
          <w:kern w:val="36"/>
          <w:sz w:val="30"/>
          <w:szCs w:val="30"/>
          <w:lang w:eastAsia="el-GR"/>
        </w:rPr>
        <w:t>2019/2020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  <w:t> </w:t>
      </w:r>
    </w:p>
    <w:p w:rsidR="00205EFB" w:rsidRPr="00205EFB" w:rsidRDefault="00205EFB" w:rsidP="00205EFB">
      <w:pPr>
        <w:shd w:val="clear" w:color="auto" w:fill="FFFFFF"/>
        <w:spacing w:before="315" w:after="158" w:line="240" w:lineRule="auto"/>
        <w:jc w:val="center"/>
        <w:outlineLvl w:val="0"/>
        <w:rPr>
          <w:rFonts w:ascii="CfDin" w:eastAsia="Times New Roman" w:hAnsi="CfDin" w:cs="Times New Roman"/>
          <w:color w:val="333333"/>
          <w:kern w:val="36"/>
          <w:sz w:val="36"/>
          <w:szCs w:val="36"/>
          <w:lang w:eastAsia="el-GR"/>
        </w:rPr>
      </w:pPr>
      <w:r w:rsidRPr="00205EFB">
        <w:rPr>
          <w:rFonts w:ascii="CfDin" w:eastAsia="Times New Roman" w:hAnsi="CfDin" w:cs="Times New Roman"/>
          <w:b/>
          <w:bCs/>
          <w:i/>
          <w:iCs/>
          <w:color w:val="333333"/>
          <w:kern w:val="36"/>
          <w:sz w:val="30"/>
          <w:szCs w:val="30"/>
          <w:lang w:eastAsia="el-GR"/>
        </w:rPr>
        <w:t> (ώρα: 19:00, αίθουσα 8)</w:t>
      </w:r>
    </w:p>
    <w:p w:rsidR="00205EFB" w:rsidRPr="00205EFB" w:rsidRDefault="00205EFB" w:rsidP="00205EFB">
      <w:pPr>
        <w:shd w:val="clear" w:color="auto" w:fill="FFFFFF"/>
        <w:spacing w:after="158" w:line="240" w:lineRule="auto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  <w:t> 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Book" w:eastAsia="Times New Roman" w:hAnsi="CfDinBook" w:cs="Times New Roman"/>
          <w:b/>
          <w:bCs/>
          <w:color w:val="333333"/>
          <w:sz w:val="24"/>
          <w:szCs w:val="24"/>
          <w:lang w:eastAsia="el-GR"/>
        </w:rPr>
        <w:t>1/11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Book" w:eastAsia="Times New Roman" w:hAnsi="CfDinBook" w:cs="Times New Roman"/>
          <w:b/>
          <w:bCs/>
          <w:color w:val="333333"/>
          <w:sz w:val="28"/>
          <w:szCs w:val="28"/>
          <w:lang w:eastAsia="el-GR"/>
        </w:rPr>
        <w:t>Απομυθοποιώντας την ψηφιακή οικονομία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val="en-US" w:eastAsia="el-GR"/>
        </w:rPr>
      </w:pPr>
      <w:r w:rsidRPr="00205EFB"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  <w:t>Αλέξανδρος</w:t>
      </w:r>
      <w:r w:rsidRPr="00205EFB">
        <w:rPr>
          <w:rFonts w:ascii="CfDin" w:eastAsia="Times New Roman" w:hAnsi="CfDin" w:cs="Times New Roman"/>
          <w:color w:val="333333"/>
          <w:sz w:val="23"/>
          <w:szCs w:val="23"/>
          <w:lang w:val="en-US" w:eastAsia="el-GR"/>
        </w:rPr>
        <w:t xml:space="preserve"> </w:t>
      </w:r>
      <w:proofErr w:type="spellStart"/>
      <w:r w:rsidRPr="00205EFB"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  <w:t>Παζαϊτης</w:t>
      </w:r>
      <w:proofErr w:type="spellEnd"/>
      <w:r w:rsidRPr="00205EFB">
        <w:rPr>
          <w:rFonts w:ascii="CfDin" w:eastAsia="Times New Roman" w:hAnsi="CfDin" w:cs="Times New Roman"/>
          <w:color w:val="333333"/>
          <w:sz w:val="23"/>
          <w:szCs w:val="23"/>
          <w:lang w:val="en-US" w:eastAsia="el-GR"/>
        </w:rPr>
        <w:t>, Junior Research Fellow, Ragnar Nurkse Department of Innovation and Governance, Tallinn University of Technology; Core member, P2P Lab</w:t>
      </w:r>
    </w:p>
    <w:p w:rsidR="00205EFB" w:rsidRPr="00205EFB" w:rsidRDefault="00205EFB" w:rsidP="00205EFB">
      <w:pPr>
        <w:shd w:val="clear" w:color="auto" w:fill="FFFFFF"/>
        <w:spacing w:after="158" w:line="240" w:lineRule="auto"/>
        <w:rPr>
          <w:rFonts w:ascii="CfDin" w:eastAsia="Times New Roman" w:hAnsi="CfDin" w:cs="Times New Roman"/>
          <w:color w:val="333333"/>
          <w:sz w:val="23"/>
          <w:szCs w:val="23"/>
          <w:lang w:val="en-US" w:eastAsia="el-GR"/>
        </w:rPr>
      </w:pPr>
      <w:r w:rsidRPr="00205EFB">
        <w:rPr>
          <w:rFonts w:ascii="CfDin" w:eastAsia="Times New Roman" w:hAnsi="CfDin" w:cs="Times New Roman"/>
          <w:color w:val="333333"/>
          <w:sz w:val="23"/>
          <w:szCs w:val="23"/>
          <w:lang w:val="en-US" w:eastAsia="el-GR"/>
        </w:rPr>
        <w:t> 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Book" w:eastAsia="Times New Roman" w:hAnsi="CfDinBook" w:cs="Times New Roman"/>
          <w:b/>
          <w:bCs/>
          <w:color w:val="333333"/>
          <w:sz w:val="24"/>
          <w:szCs w:val="24"/>
          <w:lang w:eastAsia="el-GR"/>
        </w:rPr>
        <w:t>8/11</w:t>
      </w:r>
    </w:p>
    <w:p w:rsidR="00205EFB" w:rsidRPr="00205EFB" w:rsidRDefault="00205EFB" w:rsidP="00205EFB">
      <w:pPr>
        <w:shd w:val="clear" w:color="auto" w:fill="FFFFFF"/>
        <w:spacing w:after="158" w:line="240" w:lineRule="auto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  <w:t> 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Book" w:eastAsia="Times New Roman" w:hAnsi="CfDinBook" w:cs="Times New Roman"/>
          <w:b/>
          <w:bCs/>
          <w:color w:val="333333"/>
          <w:sz w:val="24"/>
          <w:szCs w:val="24"/>
          <w:lang w:eastAsia="el-GR"/>
        </w:rPr>
        <w:t>Τα κοινά και η ομότιμη παραγωγή: Μία σύντομη εισαγωγή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" w:eastAsia="Times New Roman" w:hAnsi="CfDin" w:cs="Times New Roman"/>
          <w:i/>
          <w:iCs/>
          <w:color w:val="333333"/>
          <w:sz w:val="24"/>
          <w:szCs w:val="24"/>
          <w:lang w:eastAsia="el-GR"/>
        </w:rPr>
        <w:t xml:space="preserve">Α. </w:t>
      </w:r>
      <w:proofErr w:type="spellStart"/>
      <w:r w:rsidRPr="00205EFB">
        <w:rPr>
          <w:rFonts w:ascii="CfDin" w:eastAsia="Times New Roman" w:hAnsi="CfDin" w:cs="Times New Roman"/>
          <w:i/>
          <w:iCs/>
          <w:color w:val="333333"/>
          <w:sz w:val="24"/>
          <w:szCs w:val="24"/>
          <w:lang w:eastAsia="el-GR"/>
        </w:rPr>
        <w:t>Παζαΐτης</w:t>
      </w:r>
      <w:proofErr w:type="spellEnd"/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  <w:t> 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Book" w:eastAsia="Times New Roman" w:hAnsi="CfDinBook" w:cs="Times New Roman"/>
          <w:b/>
          <w:bCs/>
          <w:color w:val="333333"/>
          <w:sz w:val="24"/>
          <w:szCs w:val="24"/>
          <w:lang w:eastAsia="el-GR"/>
        </w:rPr>
        <w:t>15/11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Book" w:eastAsia="Times New Roman" w:hAnsi="CfDinBook" w:cs="Times New Roman"/>
          <w:b/>
          <w:bCs/>
          <w:color w:val="333333"/>
          <w:sz w:val="24"/>
          <w:szCs w:val="24"/>
          <w:lang w:eastAsia="el-GR"/>
        </w:rPr>
        <w:t>Η πολιτική οικονομία της ομότιμης παραγωγής: Δύο γενικές προσεγγίσεις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" w:eastAsia="Times New Roman" w:hAnsi="CfDin" w:cs="Times New Roman"/>
          <w:i/>
          <w:iCs/>
          <w:color w:val="333333"/>
          <w:sz w:val="24"/>
          <w:szCs w:val="24"/>
          <w:lang w:eastAsia="el-GR"/>
        </w:rPr>
        <w:t xml:space="preserve">Α. </w:t>
      </w:r>
      <w:proofErr w:type="spellStart"/>
      <w:r w:rsidRPr="00205EFB">
        <w:rPr>
          <w:rFonts w:ascii="CfDin" w:eastAsia="Times New Roman" w:hAnsi="CfDin" w:cs="Times New Roman"/>
          <w:i/>
          <w:iCs/>
          <w:color w:val="333333"/>
          <w:sz w:val="24"/>
          <w:szCs w:val="24"/>
          <w:lang w:eastAsia="el-GR"/>
        </w:rPr>
        <w:t>Παζαΐτης</w:t>
      </w:r>
      <w:proofErr w:type="spellEnd"/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  <w:t> 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Book" w:eastAsia="Times New Roman" w:hAnsi="CfDinBook" w:cs="Times New Roman"/>
          <w:b/>
          <w:bCs/>
          <w:color w:val="333333"/>
          <w:sz w:val="24"/>
          <w:szCs w:val="24"/>
          <w:lang w:eastAsia="el-GR"/>
        </w:rPr>
        <w:t>22/11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Book" w:eastAsia="Times New Roman" w:hAnsi="CfDinBook" w:cs="Times New Roman"/>
          <w:b/>
          <w:bCs/>
          <w:color w:val="333333"/>
          <w:sz w:val="24"/>
          <w:szCs w:val="24"/>
          <w:lang w:eastAsia="el-GR"/>
        </w:rPr>
        <w:t>Νομική αποτύπωση μικρής κλίμακας οικονομικών δικτύων ομότιμης παραγωγής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" w:eastAsia="Times New Roman" w:hAnsi="CfDin" w:cs="Times New Roman"/>
          <w:i/>
          <w:iCs/>
          <w:color w:val="333333"/>
          <w:sz w:val="24"/>
          <w:szCs w:val="24"/>
          <w:lang w:eastAsia="el-GR"/>
        </w:rPr>
        <w:t>Α. Κορνηλάκης, Αν. Καθηγητής Αστικού Δικαίου Νομικής ΑΠΘ</w:t>
      </w:r>
    </w:p>
    <w:p w:rsidR="00205EFB" w:rsidRPr="00205EFB" w:rsidRDefault="00205EFB" w:rsidP="00205EFB">
      <w:pPr>
        <w:shd w:val="clear" w:color="auto" w:fill="FFFFFF"/>
        <w:spacing w:after="158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  <w:t> </w:t>
      </w:r>
    </w:p>
    <w:p w:rsidR="00205EFB" w:rsidRPr="00205EFB" w:rsidRDefault="00205EFB" w:rsidP="00205EFB">
      <w:pPr>
        <w:shd w:val="clear" w:color="auto" w:fill="FFFFFF"/>
        <w:spacing w:after="0" w:line="240" w:lineRule="auto"/>
        <w:jc w:val="center"/>
        <w:rPr>
          <w:rFonts w:ascii="CfDin" w:eastAsia="Times New Roman" w:hAnsi="CfDin" w:cs="Times New Roman"/>
          <w:color w:val="333333"/>
          <w:sz w:val="23"/>
          <w:szCs w:val="23"/>
          <w:lang w:eastAsia="el-GR"/>
        </w:rPr>
      </w:pPr>
      <w:r w:rsidRPr="00205EFB">
        <w:rPr>
          <w:rFonts w:ascii="CfDinBook" w:eastAsia="Times New Roman" w:hAnsi="CfDinBook" w:cs="Times New Roman"/>
          <w:b/>
          <w:bCs/>
          <w:i/>
          <w:iCs/>
          <w:color w:val="333333"/>
          <w:sz w:val="30"/>
          <w:szCs w:val="30"/>
          <w:u w:val="single"/>
          <w:lang w:eastAsia="el-GR"/>
        </w:rPr>
        <w:t xml:space="preserve">Οι εκδηλώσεις του εαρινού εξαμήνου αναβάλλονται λόγω των μέτρων για τον </w:t>
      </w:r>
      <w:proofErr w:type="spellStart"/>
      <w:r w:rsidRPr="00205EFB">
        <w:rPr>
          <w:rFonts w:ascii="CfDinBook" w:eastAsia="Times New Roman" w:hAnsi="CfDinBook" w:cs="Times New Roman"/>
          <w:b/>
          <w:bCs/>
          <w:i/>
          <w:iCs/>
          <w:color w:val="333333"/>
          <w:sz w:val="30"/>
          <w:szCs w:val="30"/>
          <w:u w:val="single"/>
          <w:lang w:eastAsia="el-GR"/>
        </w:rPr>
        <w:t>κοροναϊό</w:t>
      </w:r>
      <w:proofErr w:type="spellEnd"/>
    </w:p>
    <w:p w:rsidR="0029685A" w:rsidRDefault="0029685A"/>
    <w:sectPr w:rsidR="002968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Din">
    <w:altName w:val="Times New Roman"/>
    <w:panose1 w:val="00000000000000000000"/>
    <w:charset w:val="00"/>
    <w:family w:val="roman"/>
    <w:notTrueType/>
    <w:pitch w:val="default"/>
  </w:font>
  <w:font w:name="CfDin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FB"/>
    <w:rsid w:val="00205EFB"/>
    <w:rsid w:val="002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E8FAE-FD9F-45EA-A303-3A7A55CD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2020-10-13T15:08:00Z</dcterms:created>
  <dcterms:modified xsi:type="dcterms:W3CDTF">2020-10-13T15:09:00Z</dcterms:modified>
</cp:coreProperties>
</file>